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bookmarkStart w:id="0" w:name="_GoBack"/>
      <w:bookmarkEnd w:id="0"/>
      <w:r>
        <w:rPr>
          <w:rFonts w:ascii="楷体_GB2312" w:hAnsi="宋体" w:eastAsia="楷体_GB2312" w:cs="楷体_GB2312"/>
          <w:color w:val="666666"/>
          <w:kern w:val="0"/>
          <w:sz w:val="52"/>
          <w:szCs w:val="52"/>
          <w:lang w:val="en-US" w:eastAsia="zh-CN" w:bidi="ar"/>
        </w:rPr>
        <w:t>中国安全防范产品行业协会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666666"/>
        </w:rPr>
      </w:pPr>
      <w:r>
        <w:rPr>
          <w:rFonts w:hint="eastAsia" w:ascii="宋体" w:hAnsi="宋体" w:eastAsia="宋体" w:cs="宋体"/>
          <w:color w:val="666666"/>
          <w:kern w:val="0"/>
          <w:sz w:val="36"/>
          <w:szCs w:val="36"/>
          <w:lang w:val="en-US" w:eastAsia="zh-CN" w:bidi="ar"/>
        </w:rPr>
        <w:t>安防工程企业申报能力评价要求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color w:val="666666"/>
        </w:rPr>
      </w:pPr>
      <w:r>
        <w:rPr>
          <w:rFonts w:hint="eastAsia" w:ascii="宋体" w:hAnsi="宋体" w:eastAsia="宋体" w:cs="宋体"/>
          <w:color w:val="666666"/>
          <w:kern w:val="0"/>
          <w:sz w:val="21"/>
          <w:szCs w:val="21"/>
          <w:lang w:val="en-US" w:eastAsia="zh-CN" w:bidi="ar"/>
        </w:rPr>
        <w:t>中安协能评[2018]05号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Fonts w:hint="eastAsia" w:ascii="宋体" w:hAnsi="宋体" w:eastAsia="宋体" w:cs="宋体"/>
          <w:sz w:val="24"/>
          <w:szCs w:val="24"/>
        </w:rPr>
        <w:t>    为推进安防行业自律机制建设，营造公平、有序、诚信的安防市场环境，引导安防工程企业规范经营，保证工程质量,提高服务水平，促进安防行业持续健康发展，中安协组织开展安防工程企业设计施工维护能力评价（以下称评价）。为方便企业参与，依据中安协《安防工程企业设计施工维护能力评价管理办法》（以下称办法）和《安防工程企业设计施工维护能力评价标准》（以下称标准）制定本《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一、评价标准</w:t>
      </w:r>
      <w:r>
        <w:rPr>
          <w:rFonts w:hint="eastAsia" w:ascii="宋体" w:hAnsi="宋体" w:eastAsia="宋体" w:cs="宋体"/>
          <w:sz w:val="24"/>
          <w:szCs w:val="24"/>
        </w:rPr>
        <w:br w:type="textWrapping"/>
      </w:r>
      <w:r>
        <w:rPr>
          <w:rFonts w:hint="eastAsia" w:ascii="宋体" w:hAnsi="宋体" w:eastAsia="宋体" w:cs="宋体"/>
          <w:sz w:val="24"/>
          <w:szCs w:val="24"/>
        </w:rPr>
        <w:t>    企业能力评价等级从高到低分为三个级别：一级、二级、三级。</w:t>
      </w:r>
    </w:p>
    <w:p>
      <w:pPr>
        <w:pStyle w:val="2"/>
        <w:keepNext w:val="0"/>
        <w:keepLines w:val="0"/>
        <w:widowControl/>
        <w:suppressLineNumbers w:val="0"/>
        <w:spacing w:line="450" w:lineRule="atLeast"/>
        <w:jc w:val="center"/>
        <w:rPr>
          <w:sz w:val="24"/>
          <w:szCs w:val="24"/>
        </w:rPr>
      </w:pPr>
      <w:r>
        <w:rPr>
          <w:rStyle w:val="6"/>
          <w:sz w:val="24"/>
          <w:szCs w:val="24"/>
        </w:rPr>
        <w:t>评价标准</w:t>
      </w:r>
      <w:r>
        <w:rPr>
          <w:sz w:val="24"/>
          <w:szCs w:val="24"/>
        </w:rPr>
        <w:t xml:space="preserve"> </w:t>
      </w:r>
    </w:p>
    <w:p>
      <w:pPr>
        <w:keepNext w:val="0"/>
        <w:keepLines w:val="0"/>
        <w:widowControl/>
        <w:suppressLineNumbers w:val="0"/>
        <w:jc w:val="left"/>
      </w:pPr>
      <w:r>
        <w:rPr>
          <w:rStyle w:val="6"/>
          <w:rFonts w:hint="eastAsia" w:ascii="宋体" w:hAnsi="宋体" w:eastAsia="宋体" w:cs="宋体"/>
          <w:kern w:val="0"/>
          <w:sz w:val="18"/>
          <w:szCs w:val="18"/>
          <w:lang w:val="en-US" w:eastAsia="zh-CN" w:bidi="ar"/>
        </w:rPr>
        <w:t>（摘自《安防工程企业设计施工维护能力评价标准》）</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15"/>
        <w:gridCol w:w="2378"/>
        <w:gridCol w:w="2529"/>
        <w:gridCol w:w="21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ascii="微软雅黑" w:hAnsi="微软雅黑" w:eastAsia="微软雅黑" w:cs="微软雅黑"/>
                <w:sz w:val="18"/>
                <w:szCs w:val="18"/>
              </w:rPr>
              <w:t>项目</w:t>
            </w:r>
            <w:r>
              <w:rPr>
                <w:rStyle w:val="6"/>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rPr>
              <w:br w:type="textWrapping"/>
            </w:r>
            <w:r>
              <w:rPr>
                <w:rStyle w:val="6"/>
                <w:rFonts w:hint="eastAsia" w:ascii="微软雅黑" w:hAnsi="微软雅黑" w:eastAsia="微软雅黑" w:cs="微软雅黑"/>
                <w:sz w:val="18"/>
                <w:szCs w:val="18"/>
              </w:rPr>
              <w:t xml:space="preserve">指标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企  业  能  力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vMerge w:val="continue"/>
            <w:shd w:val="clear" w:color="auto" w:fill="auto"/>
            <w:vAlign w:val="center"/>
          </w:tcPr>
          <w:p>
            <w:pPr>
              <w:jc w:val="center"/>
              <w:rPr>
                <w:rFonts w:hint="eastAsia" w:ascii="微软雅黑" w:hAnsi="微软雅黑" w:eastAsia="微软雅黑" w:cs="微软雅黑"/>
                <w:sz w:val="18"/>
                <w:szCs w:val="18"/>
              </w:rPr>
            </w:pPr>
          </w:p>
        </w:tc>
        <w:tc>
          <w:tcPr>
            <w:tcW w:w="274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一  级 </w:t>
            </w:r>
          </w:p>
        </w:tc>
        <w:tc>
          <w:tcPr>
            <w:tcW w:w="29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二  级 </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三  级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注册资本 </w:t>
            </w:r>
          </w:p>
        </w:tc>
        <w:tc>
          <w:tcPr>
            <w:tcW w:w="274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不少于1000万元 </w:t>
            </w:r>
          </w:p>
        </w:tc>
        <w:tc>
          <w:tcPr>
            <w:tcW w:w="29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不少于500万元 </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不少于50万元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近二年 </w:t>
            </w:r>
            <w:r>
              <w:rPr>
                <w:rFonts w:hint="eastAsia" w:ascii="微软雅黑" w:hAnsi="微软雅黑" w:eastAsia="微软雅黑" w:cs="微软雅黑"/>
                <w:sz w:val="18"/>
                <w:szCs w:val="18"/>
              </w:rPr>
              <w:br w:type="textWrapping"/>
            </w:r>
            <w:r>
              <w:rPr>
                <w:rStyle w:val="6"/>
                <w:rFonts w:hint="eastAsia" w:ascii="微软雅黑" w:hAnsi="微软雅黑" w:eastAsia="微软雅黑" w:cs="微软雅黑"/>
                <w:sz w:val="18"/>
                <w:szCs w:val="18"/>
              </w:rPr>
              <w:t xml:space="preserve">竣工工 </w:t>
            </w:r>
            <w:r>
              <w:rPr>
                <w:rFonts w:hint="eastAsia" w:ascii="微软雅黑" w:hAnsi="微软雅黑" w:eastAsia="微软雅黑" w:cs="微软雅黑"/>
                <w:sz w:val="18"/>
                <w:szCs w:val="18"/>
              </w:rPr>
              <w:br w:type="textWrapping"/>
            </w:r>
            <w:r>
              <w:rPr>
                <w:rStyle w:val="6"/>
                <w:rFonts w:hint="eastAsia" w:ascii="微软雅黑" w:hAnsi="微软雅黑" w:eastAsia="微软雅黑" w:cs="微软雅黑"/>
                <w:sz w:val="18"/>
                <w:szCs w:val="18"/>
              </w:rPr>
              <w:t xml:space="preserve">程业绩 </w:t>
            </w:r>
          </w:p>
        </w:tc>
        <w:tc>
          <w:tcPr>
            <w:tcW w:w="274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一级规模不少于5项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总额不少于2000万元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单项300万元</w:t>
            </w:r>
            <w:r>
              <w:rPr>
                <w:rStyle w:val="6"/>
                <w:rFonts w:hint="eastAsia" w:ascii="微软雅黑" w:hAnsi="微软雅黑" w:eastAsia="微软雅黑" w:cs="微软雅黑"/>
                <w:sz w:val="18"/>
                <w:szCs w:val="18"/>
              </w:rPr>
              <w:t>≥</w:t>
            </w:r>
            <w:r>
              <w:rPr>
                <w:rFonts w:hint="eastAsia" w:ascii="微软雅黑" w:hAnsi="微软雅黑" w:eastAsia="微软雅黑" w:cs="微软雅黑"/>
                <w:sz w:val="18"/>
                <w:szCs w:val="18"/>
              </w:rPr>
              <w:t xml:space="preserve">2项 </w:t>
            </w:r>
          </w:p>
        </w:tc>
        <w:tc>
          <w:tcPr>
            <w:tcW w:w="29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一、二级规模不少于5项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总额不少于1200万元 </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总额不少于50万元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技术人员 </w:t>
            </w:r>
          </w:p>
        </w:tc>
        <w:tc>
          <w:tcPr>
            <w:tcW w:w="274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技术人员不少于20名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技术负责人不少于2名 </w:t>
            </w:r>
          </w:p>
        </w:tc>
        <w:tc>
          <w:tcPr>
            <w:tcW w:w="29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技术人员不少于10名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技术负责人不少于1名 </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技术人员不少于5名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vMerge w:val="continue"/>
            <w:shd w:val="clear" w:color="auto" w:fill="auto"/>
            <w:vAlign w:val="center"/>
          </w:tcPr>
          <w:p>
            <w:pPr>
              <w:rPr>
                <w:rFonts w:hint="eastAsia" w:ascii="微软雅黑" w:hAnsi="微软雅黑" w:eastAsia="微软雅黑" w:cs="微软雅黑"/>
                <w:sz w:val="18"/>
                <w:szCs w:val="18"/>
              </w:rPr>
            </w:pPr>
          </w:p>
        </w:tc>
        <w:tc>
          <w:tcPr>
            <w:tcW w:w="8025" w:type="dxa"/>
            <w:gridSpan w:val="3"/>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须具备：相关专业技术职称、职业资格，或通过中安协企业技术人员综合能力验证。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诚信表现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 xml:space="preserve">法定代表人和主要管理人员无犯罪记录；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工商、银行、税务信用无不良记录；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承诺履行并签署《安防企业诚信公约》。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工作场所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（面积） </w:t>
            </w:r>
          </w:p>
        </w:tc>
        <w:tc>
          <w:tcPr>
            <w:tcW w:w="274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不少于300㎡</w:t>
            </w:r>
          </w:p>
        </w:tc>
        <w:tc>
          <w:tcPr>
            <w:tcW w:w="292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不少于200㎡</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Fonts w:hint="eastAsia" w:ascii="微软雅黑" w:hAnsi="微软雅黑" w:eastAsia="微软雅黑" w:cs="微软雅黑"/>
                <w:sz w:val="18"/>
                <w:szCs w:val="18"/>
              </w:rPr>
              <w:t>不少于100㎡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vMerge w:val="restart"/>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质量管理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保持适合的质量管理体系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vMerge w:val="continue"/>
            <w:shd w:val="clear" w:color="auto" w:fill="auto"/>
            <w:vAlign w:val="center"/>
          </w:tcPr>
          <w:p>
            <w:pPr>
              <w:rPr>
                <w:rFonts w:hint="eastAsia" w:ascii="微软雅黑" w:hAnsi="微软雅黑" w:eastAsia="微软雅黑" w:cs="微软雅黑"/>
                <w:sz w:val="18"/>
                <w:szCs w:val="18"/>
              </w:rPr>
            </w:pPr>
          </w:p>
        </w:tc>
        <w:tc>
          <w:tcPr>
            <w:tcW w:w="5670" w:type="dxa"/>
            <w:gridSpan w:val="2"/>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通过质量管理体系认证 </w:t>
            </w:r>
          </w:p>
        </w:tc>
        <w:tc>
          <w:tcPr>
            <w:tcW w:w="235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    -------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安全管理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建立、健全安全生产管理制度，并得到有效执行 ;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近两年承建的工程无重大安全、质量责任事故。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305"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客户服务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建立、健全客户服务制度, 持续增强顾客满意。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500" w:type="dxa"/>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pPr>
            <w:r>
              <w:rPr>
                <w:rStyle w:val="6"/>
                <w:rFonts w:hint="eastAsia" w:ascii="微软雅黑" w:hAnsi="微软雅黑" w:eastAsia="微软雅黑" w:cs="微软雅黑"/>
                <w:sz w:val="18"/>
                <w:szCs w:val="18"/>
              </w:rPr>
              <w:t xml:space="preserve">社会保险 </w:t>
            </w:r>
          </w:p>
        </w:tc>
        <w:tc>
          <w:tcPr>
            <w:tcW w:w="8025" w:type="dxa"/>
            <w:gridSpan w:val="3"/>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pPr>
            <w:r>
              <w:rPr>
                <w:rFonts w:hint="eastAsia" w:ascii="微软雅黑" w:hAnsi="微软雅黑" w:eastAsia="微软雅黑" w:cs="微软雅黑"/>
                <w:sz w:val="18"/>
                <w:szCs w:val="18"/>
              </w:rPr>
              <w:t xml:space="preserve">依法为员工办理社会保险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二、评价申报</w:t>
      </w:r>
      <w:r>
        <w:rPr>
          <w:rFonts w:hint="eastAsia" w:ascii="宋体" w:hAnsi="宋体" w:eastAsia="宋体" w:cs="宋体"/>
          <w:sz w:val="24"/>
          <w:szCs w:val="24"/>
        </w:rPr>
        <w:br w:type="textWrapping"/>
      </w:r>
      <w:r>
        <w:rPr>
          <w:rFonts w:hint="eastAsia" w:ascii="宋体" w:hAnsi="宋体" w:eastAsia="宋体" w:cs="宋体"/>
          <w:sz w:val="24"/>
          <w:szCs w:val="24"/>
        </w:rPr>
        <w:t>    （一）基本原则：企业申报能力评价实行属地管理和自愿原则。</w:t>
      </w:r>
      <w:r>
        <w:rPr>
          <w:rFonts w:hint="eastAsia" w:ascii="宋体" w:hAnsi="宋体" w:eastAsia="宋体" w:cs="宋体"/>
          <w:sz w:val="24"/>
          <w:szCs w:val="24"/>
        </w:rPr>
        <w:br w:type="textWrapping"/>
      </w:r>
      <w:r>
        <w:rPr>
          <w:rFonts w:hint="eastAsia" w:ascii="宋体" w:hAnsi="宋体" w:eastAsia="宋体" w:cs="宋体"/>
          <w:sz w:val="24"/>
          <w:szCs w:val="24"/>
        </w:rPr>
        <w:t>    （二）申报程序</w:t>
      </w:r>
      <w:r>
        <w:rPr>
          <w:rFonts w:hint="eastAsia" w:ascii="宋体" w:hAnsi="宋体" w:eastAsia="宋体" w:cs="宋体"/>
          <w:sz w:val="24"/>
          <w:szCs w:val="24"/>
        </w:rPr>
        <w:br w:type="textWrapping"/>
      </w:r>
      <w:r>
        <w:rPr>
          <w:rFonts w:hint="eastAsia" w:ascii="宋体" w:hAnsi="宋体" w:eastAsia="宋体" w:cs="宋体"/>
          <w:sz w:val="24"/>
          <w:szCs w:val="24"/>
        </w:rPr>
        <w:t>     1、按照《安防工程企业设计施工维护能力评价管理办法》与《安防工程企业设计施工维护能力评价标准》进行自我评价，确认申报级别。</w:t>
      </w:r>
      <w:r>
        <w:rPr>
          <w:rFonts w:hint="eastAsia" w:ascii="宋体" w:hAnsi="宋体" w:eastAsia="宋体" w:cs="宋体"/>
          <w:sz w:val="24"/>
          <w:szCs w:val="24"/>
        </w:rPr>
        <w:br w:type="textWrapping"/>
      </w:r>
      <w:r>
        <w:rPr>
          <w:rFonts w:hint="eastAsia" w:ascii="宋体" w:hAnsi="宋体" w:eastAsia="宋体" w:cs="宋体"/>
          <w:sz w:val="24"/>
          <w:szCs w:val="24"/>
        </w:rPr>
        <w:t>     2、登录安防工程企业能力评价系统，在线填写《安防工程企业设计施工维护能力评价申请表》、《安防工程企业基本情况登记表》、《安防工程企业技术人员名单》、《安防工程企业工程业绩汇总表》。</w:t>
      </w:r>
      <w:r>
        <w:rPr>
          <w:rFonts w:hint="eastAsia" w:ascii="宋体" w:hAnsi="宋体" w:eastAsia="宋体" w:cs="宋体"/>
          <w:sz w:val="24"/>
          <w:szCs w:val="24"/>
        </w:rPr>
        <w:br w:type="textWrapping"/>
      </w:r>
      <w:r>
        <w:rPr>
          <w:rFonts w:hint="eastAsia" w:ascii="宋体" w:hAnsi="宋体" w:eastAsia="宋体" w:cs="宋体"/>
          <w:sz w:val="24"/>
          <w:szCs w:val="24"/>
        </w:rPr>
        <w:t>     3、汇集整理并上传下列资料(具体格式要求，请查阅“安防工程企业能力评价系统”中的“申报指南”）：</w:t>
      </w:r>
      <w:r>
        <w:rPr>
          <w:rFonts w:hint="eastAsia" w:ascii="宋体" w:hAnsi="宋体" w:eastAsia="宋体" w:cs="宋体"/>
          <w:sz w:val="24"/>
          <w:szCs w:val="24"/>
        </w:rPr>
        <w:br w:type="textWrapping"/>
      </w:r>
      <w:r>
        <w:rPr>
          <w:rFonts w:hint="eastAsia" w:ascii="宋体" w:hAnsi="宋体" w:eastAsia="宋体" w:cs="宋体"/>
          <w:sz w:val="24"/>
          <w:szCs w:val="24"/>
        </w:rPr>
        <w:t>     （1）营业执照副本；</w:t>
      </w:r>
      <w:r>
        <w:rPr>
          <w:rFonts w:hint="eastAsia" w:ascii="宋体" w:hAnsi="宋体" w:eastAsia="宋体" w:cs="宋体"/>
          <w:sz w:val="24"/>
          <w:szCs w:val="24"/>
        </w:rPr>
        <w:br w:type="textWrapping"/>
      </w:r>
      <w:r>
        <w:rPr>
          <w:rFonts w:hint="eastAsia" w:ascii="宋体" w:hAnsi="宋体" w:eastAsia="宋体" w:cs="宋体"/>
          <w:sz w:val="24"/>
          <w:szCs w:val="24"/>
        </w:rPr>
        <w:t>     （2）法定代表人身份证件；</w:t>
      </w:r>
      <w:r>
        <w:rPr>
          <w:rFonts w:hint="eastAsia" w:ascii="宋体" w:hAnsi="宋体" w:eastAsia="宋体" w:cs="宋体"/>
          <w:sz w:val="24"/>
          <w:szCs w:val="24"/>
        </w:rPr>
        <w:br w:type="textWrapping"/>
      </w:r>
      <w:r>
        <w:rPr>
          <w:rFonts w:hint="eastAsia" w:ascii="宋体" w:hAnsi="宋体" w:eastAsia="宋体" w:cs="宋体"/>
          <w:sz w:val="24"/>
          <w:szCs w:val="24"/>
        </w:rPr>
        <w:t>     （3）参保人员名单；</w:t>
      </w:r>
      <w:r>
        <w:rPr>
          <w:rFonts w:hint="eastAsia" w:ascii="宋体" w:hAnsi="宋体" w:eastAsia="宋体" w:cs="宋体"/>
          <w:sz w:val="24"/>
          <w:szCs w:val="24"/>
        </w:rPr>
        <w:br w:type="textWrapping"/>
      </w:r>
      <w:r>
        <w:rPr>
          <w:rFonts w:hint="eastAsia" w:ascii="宋体" w:hAnsi="宋体" w:eastAsia="宋体" w:cs="宋体"/>
          <w:sz w:val="24"/>
          <w:szCs w:val="24"/>
        </w:rPr>
        <w:t>     （4）法定代表人签署的《安防企业诚信公约》；</w:t>
      </w:r>
      <w:r>
        <w:rPr>
          <w:rFonts w:hint="eastAsia" w:ascii="宋体" w:hAnsi="宋体" w:eastAsia="宋体" w:cs="宋体"/>
          <w:sz w:val="24"/>
          <w:szCs w:val="24"/>
        </w:rPr>
        <w:br w:type="textWrapping"/>
      </w:r>
      <w:r>
        <w:rPr>
          <w:rFonts w:hint="eastAsia" w:ascii="宋体" w:hAnsi="宋体" w:eastAsia="宋体" w:cs="宋体"/>
          <w:sz w:val="24"/>
          <w:szCs w:val="24"/>
        </w:rPr>
        <w:t>     （5）法定代表人和主要管理人员无犯罪记录证明；</w:t>
      </w:r>
      <w:r>
        <w:rPr>
          <w:rFonts w:hint="eastAsia" w:ascii="宋体" w:hAnsi="宋体" w:eastAsia="宋体" w:cs="宋体"/>
          <w:sz w:val="24"/>
          <w:szCs w:val="24"/>
        </w:rPr>
        <w:br w:type="textWrapping"/>
      </w:r>
      <w:r>
        <w:rPr>
          <w:rFonts w:hint="eastAsia" w:ascii="宋体" w:hAnsi="宋体" w:eastAsia="宋体" w:cs="宋体"/>
          <w:sz w:val="24"/>
          <w:szCs w:val="24"/>
        </w:rPr>
        <w:t>     （6）办公场所证明（房产证、租赁合同等）；</w:t>
      </w:r>
      <w:r>
        <w:rPr>
          <w:rFonts w:hint="eastAsia" w:ascii="宋体" w:hAnsi="宋体" w:eastAsia="宋体" w:cs="宋体"/>
          <w:sz w:val="24"/>
          <w:szCs w:val="24"/>
        </w:rPr>
        <w:br w:type="textWrapping"/>
      </w:r>
      <w:r>
        <w:rPr>
          <w:rFonts w:hint="eastAsia" w:ascii="宋体" w:hAnsi="宋体" w:eastAsia="宋体" w:cs="宋体"/>
          <w:sz w:val="24"/>
          <w:szCs w:val="24"/>
        </w:rPr>
        <w:t>     （7）质量管理体系认证证书（一、二级能力企业 ）；</w:t>
      </w:r>
      <w:r>
        <w:rPr>
          <w:rFonts w:hint="eastAsia" w:ascii="宋体" w:hAnsi="宋体" w:eastAsia="宋体" w:cs="宋体"/>
          <w:sz w:val="24"/>
          <w:szCs w:val="24"/>
        </w:rPr>
        <w:br w:type="textWrapping"/>
      </w:r>
      <w:r>
        <w:rPr>
          <w:rFonts w:hint="eastAsia" w:ascii="宋体" w:hAnsi="宋体" w:eastAsia="宋体" w:cs="宋体"/>
          <w:sz w:val="24"/>
          <w:szCs w:val="24"/>
        </w:rPr>
        <w:t>     质量管理文件（三级能力企业）；</w:t>
      </w:r>
      <w:r>
        <w:rPr>
          <w:rFonts w:hint="eastAsia" w:ascii="宋体" w:hAnsi="宋体" w:eastAsia="宋体" w:cs="宋体"/>
          <w:sz w:val="24"/>
          <w:szCs w:val="24"/>
        </w:rPr>
        <w:br w:type="textWrapping"/>
      </w:r>
      <w:r>
        <w:rPr>
          <w:rFonts w:hint="eastAsia" w:ascii="宋体" w:hAnsi="宋体" w:eastAsia="宋体" w:cs="宋体"/>
          <w:sz w:val="24"/>
          <w:szCs w:val="24"/>
        </w:rPr>
        <w:t>     （8）安全生产管理制度及实施证据（通过OHSMS认证企业上传认证证书）；</w:t>
      </w:r>
      <w:r>
        <w:rPr>
          <w:rFonts w:hint="eastAsia" w:ascii="宋体" w:hAnsi="宋体" w:eastAsia="宋体" w:cs="宋体"/>
          <w:sz w:val="24"/>
          <w:szCs w:val="24"/>
        </w:rPr>
        <w:br w:type="textWrapping"/>
      </w:r>
      <w:r>
        <w:rPr>
          <w:rFonts w:hint="eastAsia" w:ascii="宋体" w:hAnsi="宋体" w:eastAsia="宋体" w:cs="宋体"/>
          <w:sz w:val="24"/>
          <w:szCs w:val="24"/>
        </w:rPr>
        <w:t>     （9）售后服务管理制度及实施证据；</w:t>
      </w:r>
      <w:r>
        <w:rPr>
          <w:rFonts w:hint="eastAsia" w:ascii="宋体" w:hAnsi="宋体" w:eastAsia="宋体" w:cs="宋体"/>
          <w:sz w:val="24"/>
          <w:szCs w:val="24"/>
        </w:rPr>
        <w:br w:type="textWrapping"/>
      </w:r>
      <w:r>
        <w:rPr>
          <w:rFonts w:hint="eastAsia" w:ascii="宋体" w:hAnsi="宋体" w:eastAsia="宋体" w:cs="宋体"/>
          <w:sz w:val="24"/>
          <w:szCs w:val="24"/>
        </w:rPr>
        <w:t>     （10）近两年竣工安防工程资料；</w:t>
      </w:r>
      <w:r>
        <w:rPr>
          <w:rFonts w:hint="eastAsia" w:ascii="宋体" w:hAnsi="宋体" w:eastAsia="宋体" w:cs="宋体"/>
          <w:sz w:val="24"/>
          <w:szCs w:val="24"/>
        </w:rPr>
        <w:br w:type="textWrapping"/>
      </w:r>
      <w:r>
        <w:rPr>
          <w:rFonts w:hint="eastAsia" w:ascii="宋体" w:hAnsi="宋体" w:eastAsia="宋体" w:cs="宋体"/>
          <w:sz w:val="24"/>
          <w:szCs w:val="24"/>
        </w:rPr>
        <w:t>     工程合同、设备报价清单、验收文件、系统设计方案（只需在工程额最高的三项工程中选择一个非保密项目的设计方案上传）。</w:t>
      </w:r>
      <w:r>
        <w:rPr>
          <w:rFonts w:hint="eastAsia" w:ascii="宋体" w:hAnsi="宋体" w:eastAsia="宋体" w:cs="宋体"/>
          <w:sz w:val="24"/>
          <w:szCs w:val="24"/>
        </w:rPr>
        <w:br w:type="textWrapping"/>
      </w:r>
      <w:r>
        <w:rPr>
          <w:rFonts w:hint="eastAsia" w:ascii="宋体" w:hAnsi="宋体" w:eastAsia="宋体" w:cs="宋体"/>
          <w:sz w:val="24"/>
          <w:szCs w:val="24"/>
        </w:rPr>
        <w:t>     （11）《安防工程企业设计施工维护能力自评报告》（据实编写）</w:t>
      </w:r>
      <w:r>
        <w:rPr>
          <w:rFonts w:hint="eastAsia" w:ascii="宋体" w:hAnsi="宋体" w:eastAsia="宋体" w:cs="宋体"/>
          <w:sz w:val="24"/>
          <w:szCs w:val="24"/>
        </w:rPr>
        <w:br w:type="textWrapping"/>
      </w:r>
      <w:r>
        <w:rPr>
          <w:rFonts w:hint="eastAsia" w:ascii="宋体" w:hAnsi="宋体" w:eastAsia="宋体" w:cs="宋体"/>
          <w:sz w:val="24"/>
          <w:szCs w:val="24"/>
        </w:rPr>
        <w:t>     报告内容：</w:t>
      </w:r>
      <w:r>
        <w:rPr>
          <w:rFonts w:hint="eastAsia" w:ascii="宋体" w:hAnsi="宋体" w:eastAsia="宋体" w:cs="宋体"/>
          <w:sz w:val="24"/>
          <w:szCs w:val="24"/>
        </w:rPr>
        <w:br w:type="textWrapping"/>
      </w:r>
      <w:r>
        <w:rPr>
          <w:rFonts w:hint="eastAsia" w:ascii="宋体" w:hAnsi="宋体" w:eastAsia="宋体" w:cs="宋体"/>
          <w:sz w:val="24"/>
          <w:szCs w:val="24"/>
        </w:rPr>
        <w:t>     ● 基本情况概述（成立与发展、组织结构与员工、资本结构、财务状况、经营年限、经营场所等）；</w:t>
      </w:r>
      <w:r>
        <w:rPr>
          <w:rFonts w:hint="eastAsia" w:ascii="宋体" w:hAnsi="宋体" w:eastAsia="宋体" w:cs="宋体"/>
          <w:sz w:val="24"/>
          <w:szCs w:val="24"/>
        </w:rPr>
        <w:br w:type="textWrapping"/>
      </w:r>
      <w:r>
        <w:rPr>
          <w:rFonts w:hint="eastAsia" w:ascii="宋体" w:hAnsi="宋体" w:eastAsia="宋体" w:cs="宋体"/>
          <w:sz w:val="24"/>
          <w:szCs w:val="24"/>
        </w:rPr>
        <w:t>     ● 业务能力说明（主营范围、安防业绩、运行状况、使用效果）；</w:t>
      </w:r>
      <w:r>
        <w:rPr>
          <w:rFonts w:hint="eastAsia" w:ascii="宋体" w:hAnsi="宋体" w:eastAsia="宋体" w:cs="宋体"/>
          <w:sz w:val="24"/>
          <w:szCs w:val="24"/>
        </w:rPr>
        <w:br w:type="textWrapping"/>
      </w:r>
      <w:r>
        <w:rPr>
          <w:rFonts w:hint="eastAsia" w:ascii="宋体" w:hAnsi="宋体" w:eastAsia="宋体" w:cs="宋体"/>
          <w:sz w:val="24"/>
          <w:szCs w:val="24"/>
        </w:rPr>
        <w:t>     ● 内部管理说明（项目管理、质量保证、文档管理、售后服务、安全生产、教育培训等）及证明文件；</w:t>
      </w:r>
      <w:r>
        <w:rPr>
          <w:rFonts w:hint="eastAsia" w:ascii="宋体" w:hAnsi="宋体" w:eastAsia="宋体" w:cs="宋体"/>
          <w:sz w:val="24"/>
          <w:szCs w:val="24"/>
        </w:rPr>
        <w:br w:type="textWrapping"/>
      </w:r>
      <w:r>
        <w:rPr>
          <w:rFonts w:hint="eastAsia" w:ascii="宋体" w:hAnsi="宋体" w:eastAsia="宋体" w:cs="宋体"/>
          <w:sz w:val="24"/>
          <w:szCs w:val="24"/>
        </w:rPr>
        <w:t>     ● 诚信表现说明（员工权益、信用状况、不良记录、社会贡献、资信荣誉等）及证明文件；</w:t>
      </w:r>
      <w:r>
        <w:rPr>
          <w:rFonts w:hint="eastAsia" w:ascii="宋体" w:hAnsi="宋体" w:eastAsia="宋体" w:cs="宋体"/>
          <w:sz w:val="24"/>
          <w:szCs w:val="24"/>
        </w:rPr>
        <w:br w:type="textWrapping"/>
      </w:r>
      <w:r>
        <w:rPr>
          <w:rFonts w:hint="eastAsia" w:ascii="宋体" w:hAnsi="宋体" w:eastAsia="宋体" w:cs="宋体"/>
          <w:sz w:val="24"/>
          <w:szCs w:val="24"/>
        </w:rPr>
        <w:t>     ● 声明：本公司对所提供全部信息的真实性负责，承担相关责任。</w:t>
      </w:r>
      <w:r>
        <w:rPr>
          <w:rFonts w:hint="eastAsia" w:ascii="宋体" w:hAnsi="宋体" w:eastAsia="宋体" w:cs="宋体"/>
          <w:sz w:val="24"/>
          <w:szCs w:val="24"/>
        </w:rPr>
        <w:br w:type="textWrapping"/>
      </w:r>
      <w:r>
        <w:rPr>
          <w:rFonts w:hint="eastAsia" w:ascii="宋体" w:hAnsi="宋体" w:eastAsia="宋体" w:cs="宋体"/>
          <w:sz w:val="24"/>
          <w:szCs w:val="24"/>
        </w:rPr>
        <w:t>     编制要求：报告表述言简意赅，不能有误导性语句,评价结论明确。报告由编制人及法定代表人签字并加盖公章。      4、企业应确保其填报和上传的资料是真实、有效的，符合本《要求》的规定，不得提供虚假信息。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三、申报受理</w:t>
      </w:r>
      <w:r>
        <w:rPr>
          <w:rFonts w:hint="eastAsia" w:ascii="宋体" w:hAnsi="宋体" w:eastAsia="宋体" w:cs="宋体"/>
          <w:sz w:val="24"/>
          <w:szCs w:val="24"/>
        </w:rPr>
        <w:br w:type="textWrapping"/>
      </w:r>
      <w:r>
        <w:rPr>
          <w:rFonts w:hint="eastAsia" w:ascii="宋体" w:hAnsi="宋体" w:eastAsia="宋体" w:cs="宋体"/>
          <w:sz w:val="24"/>
          <w:szCs w:val="24"/>
        </w:rPr>
        <w:t>    （一）各省安协能力评价分中心（下称分中心）受理本省企业能力评价申报，进行合规性检查，确认受理并立案建档。</w:t>
      </w:r>
      <w:r>
        <w:rPr>
          <w:rFonts w:hint="eastAsia" w:ascii="宋体" w:hAnsi="宋体" w:eastAsia="宋体" w:cs="宋体"/>
          <w:sz w:val="24"/>
          <w:szCs w:val="24"/>
        </w:rPr>
        <w:br w:type="textWrapping"/>
      </w:r>
      <w:r>
        <w:rPr>
          <w:rFonts w:hint="eastAsia" w:ascii="宋体" w:hAnsi="宋体" w:eastAsia="宋体" w:cs="宋体"/>
          <w:sz w:val="24"/>
          <w:szCs w:val="24"/>
        </w:rPr>
        <w:t>    （二）合规性检查不合格的不予受理，告知不合格事项，退回全部资料，企业纠正后重新申报。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四、企业能力评价</w:t>
      </w:r>
      <w:r>
        <w:rPr>
          <w:rFonts w:hint="eastAsia" w:ascii="宋体" w:hAnsi="宋体" w:eastAsia="宋体" w:cs="宋体"/>
          <w:sz w:val="24"/>
          <w:szCs w:val="24"/>
        </w:rPr>
        <w:br w:type="textWrapping"/>
      </w:r>
      <w:r>
        <w:rPr>
          <w:rFonts w:hint="eastAsia" w:ascii="宋体" w:hAnsi="宋体" w:eastAsia="宋体" w:cs="宋体"/>
          <w:sz w:val="24"/>
          <w:szCs w:val="24"/>
        </w:rPr>
        <w:t>    （一）能力评审</w:t>
      </w:r>
      <w:r>
        <w:rPr>
          <w:rFonts w:hint="eastAsia" w:ascii="宋体" w:hAnsi="宋体" w:eastAsia="宋体" w:cs="宋体"/>
          <w:sz w:val="24"/>
          <w:szCs w:val="24"/>
        </w:rPr>
        <w:br w:type="textWrapping"/>
      </w:r>
      <w:r>
        <w:rPr>
          <w:rFonts w:hint="eastAsia" w:ascii="宋体" w:hAnsi="宋体" w:eastAsia="宋体" w:cs="宋体"/>
          <w:sz w:val="24"/>
          <w:szCs w:val="24"/>
        </w:rPr>
        <w:t>     1、按照企业申报能力等级，分中心评审员在线审查企业申报资料；</w:t>
      </w:r>
      <w:r>
        <w:rPr>
          <w:rFonts w:hint="eastAsia" w:ascii="宋体" w:hAnsi="宋体" w:eastAsia="宋体" w:cs="宋体"/>
          <w:sz w:val="24"/>
          <w:szCs w:val="24"/>
        </w:rPr>
        <w:br w:type="textWrapping"/>
      </w:r>
      <w:r>
        <w:rPr>
          <w:rFonts w:hint="eastAsia" w:ascii="宋体" w:hAnsi="宋体" w:eastAsia="宋体" w:cs="宋体"/>
          <w:sz w:val="24"/>
          <w:szCs w:val="24"/>
        </w:rPr>
        <w:t>     2、确认符合《评价标准》的，报告评审结论；</w:t>
      </w:r>
      <w:r>
        <w:rPr>
          <w:rFonts w:hint="eastAsia" w:ascii="宋体" w:hAnsi="宋体" w:eastAsia="宋体" w:cs="宋体"/>
          <w:sz w:val="24"/>
          <w:szCs w:val="24"/>
        </w:rPr>
        <w:br w:type="textWrapping"/>
      </w:r>
      <w:r>
        <w:rPr>
          <w:rFonts w:hint="eastAsia" w:ascii="宋体" w:hAnsi="宋体" w:eastAsia="宋体" w:cs="宋体"/>
          <w:sz w:val="24"/>
          <w:szCs w:val="24"/>
        </w:rPr>
        <w:t xml:space="preserve">     3、确认不符合《评价标准》的，与企业沟通，告知全部不符合事项，属严重不符合的，则开具《不符合项报告》； </w:t>
      </w:r>
      <w:r>
        <w:rPr>
          <w:rFonts w:hint="eastAsia" w:ascii="宋体" w:hAnsi="宋体" w:eastAsia="宋体" w:cs="宋体"/>
          <w:sz w:val="24"/>
          <w:szCs w:val="24"/>
        </w:rPr>
        <w:br w:type="textWrapping"/>
      </w:r>
      <w:r>
        <w:rPr>
          <w:rFonts w:hint="eastAsia" w:ascii="宋体" w:hAnsi="宋体" w:eastAsia="宋体" w:cs="宋体"/>
          <w:sz w:val="24"/>
          <w:szCs w:val="24"/>
        </w:rPr>
        <w:t xml:space="preserve">     4、企业应在告知日（不含）起5个工作日内，予以有效纠正，上传证据资料（含填写完整的《不符合项报告》）。纠正有效的，即为符合《评价标准》； </w:t>
      </w:r>
      <w:r>
        <w:rPr>
          <w:rFonts w:hint="eastAsia" w:ascii="宋体" w:hAnsi="宋体" w:eastAsia="宋体" w:cs="宋体"/>
          <w:sz w:val="24"/>
          <w:szCs w:val="24"/>
        </w:rPr>
        <w:br w:type="textWrapping"/>
      </w:r>
      <w:r>
        <w:rPr>
          <w:rFonts w:hint="eastAsia" w:ascii="宋体" w:hAnsi="宋体" w:eastAsia="宋体" w:cs="宋体"/>
          <w:sz w:val="24"/>
          <w:szCs w:val="24"/>
        </w:rPr>
        <w:t>     5、沟通纠正的机会只有一次。</w:t>
      </w:r>
      <w:r>
        <w:rPr>
          <w:rFonts w:hint="eastAsia" w:ascii="宋体" w:hAnsi="宋体" w:eastAsia="宋体" w:cs="宋体"/>
          <w:sz w:val="24"/>
          <w:szCs w:val="24"/>
        </w:rPr>
        <w:br w:type="textWrapping"/>
      </w:r>
      <w:r>
        <w:rPr>
          <w:rFonts w:hint="eastAsia" w:ascii="宋体" w:hAnsi="宋体" w:eastAsia="宋体" w:cs="宋体"/>
          <w:sz w:val="24"/>
          <w:szCs w:val="24"/>
        </w:rPr>
        <w:t>    （二）能力审定</w:t>
      </w:r>
      <w:r>
        <w:rPr>
          <w:rFonts w:hint="eastAsia" w:ascii="宋体" w:hAnsi="宋体" w:eastAsia="宋体" w:cs="宋体"/>
          <w:sz w:val="24"/>
          <w:szCs w:val="24"/>
        </w:rPr>
        <w:br w:type="textWrapping"/>
      </w:r>
      <w:r>
        <w:rPr>
          <w:rFonts w:hint="eastAsia" w:ascii="宋体" w:hAnsi="宋体" w:eastAsia="宋体" w:cs="宋体"/>
          <w:sz w:val="24"/>
          <w:szCs w:val="24"/>
        </w:rPr>
        <w:t>     1、通过能力评审的企业，申报一级能力的，由省安协负责人批转至中安协实施终评；</w:t>
      </w:r>
      <w:r>
        <w:rPr>
          <w:rFonts w:hint="eastAsia" w:ascii="宋体" w:hAnsi="宋体" w:eastAsia="宋体" w:cs="宋体"/>
          <w:sz w:val="24"/>
          <w:szCs w:val="24"/>
        </w:rPr>
        <w:br w:type="textWrapping"/>
      </w:r>
      <w:r>
        <w:rPr>
          <w:rFonts w:hint="eastAsia" w:ascii="宋体" w:hAnsi="宋体" w:eastAsia="宋体" w:cs="宋体"/>
          <w:sz w:val="24"/>
          <w:szCs w:val="24"/>
        </w:rPr>
        <w:t>     2、申报二、三级能力的，分中心组织专家进行能力审定，复核企业资料、评审记录和评审结论，报告审定意见。</w:t>
      </w:r>
      <w:r>
        <w:rPr>
          <w:rFonts w:hint="eastAsia" w:ascii="宋体" w:hAnsi="宋体" w:eastAsia="宋体" w:cs="宋体"/>
          <w:sz w:val="24"/>
          <w:szCs w:val="24"/>
        </w:rPr>
        <w:br w:type="textWrapping"/>
      </w:r>
      <w:r>
        <w:rPr>
          <w:rFonts w:hint="eastAsia" w:ascii="宋体" w:hAnsi="宋体" w:eastAsia="宋体" w:cs="宋体"/>
          <w:sz w:val="24"/>
          <w:szCs w:val="24"/>
        </w:rPr>
        <w:t>    （三）批准与颁证</w:t>
      </w:r>
      <w:r>
        <w:rPr>
          <w:rFonts w:hint="eastAsia" w:ascii="宋体" w:hAnsi="宋体" w:eastAsia="宋体" w:cs="宋体"/>
          <w:sz w:val="24"/>
          <w:szCs w:val="24"/>
        </w:rPr>
        <w:br w:type="textWrapping"/>
      </w:r>
      <w:r>
        <w:rPr>
          <w:rFonts w:hint="eastAsia" w:ascii="宋体" w:hAnsi="宋体" w:eastAsia="宋体" w:cs="宋体"/>
          <w:sz w:val="24"/>
          <w:szCs w:val="24"/>
        </w:rPr>
        <w:t>     1、省安协负责人审批二、三级能力评价，签署审批意见。</w:t>
      </w:r>
      <w:r>
        <w:rPr>
          <w:rFonts w:hint="eastAsia" w:ascii="宋体" w:hAnsi="宋体" w:eastAsia="宋体" w:cs="宋体"/>
          <w:sz w:val="24"/>
          <w:szCs w:val="24"/>
        </w:rPr>
        <w:br w:type="textWrapping"/>
      </w:r>
      <w:r>
        <w:rPr>
          <w:rFonts w:hint="eastAsia" w:ascii="宋体" w:hAnsi="宋体" w:eastAsia="宋体" w:cs="宋体"/>
          <w:sz w:val="24"/>
          <w:szCs w:val="24"/>
        </w:rPr>
        <w:t>     2、分中心根据省安协审批意见制作、颁发能力证书或签发《不合格通知》。</w:t>
      </w:r>
      <w:r>
        <w:rPr>
          <w:rFonts w:hint="eastAsia" w:ascii="宋体" w:hAnsi="宋体" w:eastAsia="宋体" w:cs="宋体"/>
          <w:sz w:val="24"/>
          <w:szCs w:val="24"/>
        </w:rPr>
        <w:br w:type="textWrapping"/>
      </w:r>
      <w:r>
        <w:rPr>
          <w:rFonts w:hint="eastAsia" w:ascii="宋体" w:hAnsi="宋体" w:eastAsia="宋体" w:cs="宋体"/>
          <w:sz w:val="24"/>
          <w:szCs w:val="24"/>
        </w:rPr>
        <w:t>    （四）一级能力终评</w:t>
      </w:r>
      <w:r>
        <w:rPr>
          <w:rFonts w:hint="eastAsia" w:ascii="宋体" w:hAnsi="宋体" w:eastAsia="宋体" w:cs="宋体"/>
          <w:sz w:val="24"/>
          <w:szCs w:val="24"/>
        </w:rPr>
        <w:br w:type="textWrapping"/>
      </w:r>
      <w:r>
        <w:rPr>
          <w:rFonts w:hint="eastAsia" w:ascii="宋体" w:hAnsi="宋体" w:eastAsia="宋体" w:cs="宋体"/>
          <w:sz w:val="24"/>
          <w:szCs w:val="24"/>
        </w:rPr>
        <w:t>     1、中安协能评中心委派专家实施一级能力终评,报告终评结论；</w:t>
      </w:r>
      <w:r>
        <w:rPr>
          <w:rFonts w:hint="eastAsia" w:ascii="宋体" w:hAnsi="宋体" w:eastAsia="宋体" w:cs="宋体"/>
          <w:sz w:val="24"/>
          <w:szCs w:val="24"/>
        </w:rPr>
        <w:br w:type="textWrapping"/>
      </w:r>
      <w:r>
        <w:rPr>
          <w:rFonts w:hint="eastAsia" w:ascii="宋体" w:hAnsi="宋体" w:eastAsia="宋体" w:cs="宋体"/>
          <w:sz w:val="24"/>
          <w:szCs w:val="24"/>
        </w:rPr>
        <w:t>     2、确认符合标准要求的进行网上公示，公示期为7个工作日；不符合要求的退回省安协处理；</w:t>
      </w:r>
      <w:r>
        <w:rPr>
          <w:rFonts w:hint="eastAsia" w:ascii="宋体" w:hAnsi="宋体" w:eastAsia="宋体" w:cs="宋体"/>
          <w:sz w:val="24"/>
          <w:szCs w:val="24"/>
        </w:rPr>
        <w:br w:type="textWrapping"/>
      </w:r>
      <w:r>
        <w:rPr>
          <w:rFonts w:hint="eastAsia" w:ascii="宋体" w:hAnsi="宋体" w:eastAsia="宋体" w:cs="宋体"/>
          <w:sz w:val="24"/>
          <w:szCs w:val="24"/>
        </w:rPr>
        <w:t>     3、公示期内无投诉的报中安协批准颁发一级能力证书；否则，由能评中心进行核查，并按规定处理。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五、其他地区企业能力评价</w:t>
      </w:r>
      <w:r>
        <w:rPr>
          <w:rFonts w:hint="eastAsia" w:ascii="宋体" w:hAnsi="宋体" w:eastAsia="宋体" w:cs="宋体"/>
          <w:sz w:val="24"/>
          <w:szCs w:val="24"/>
        </w:rPr>
        <w:br w:type="textWrapping"/>
      </w:r>
      <w:r>
        <w:rPr>
          <w:rFonts w:hint="eastAsia" w:ascii="宋体" w:hAnsi="宋体" w:eastAsia="宋体" w:cs="宋体"/>
          <w:sz w:val="24"/>
          <w:szCs w:val="24"/>
        </w:rPr>
        <w:t>    （一）其它地区企业能力评价由中安协能评中心组织实施。</w:t>
      </w:r>
      <w:r>
        <w:rPr>
          <w:rFonts w:hint="eastAsia" w:ascii="宋体" w:hAnsi="宋体" w:eastAsia="宋体" w:cs="宋体"/>
          <w:sz w:val="24"/>
          <w:szCs w:val="24"/>
        </w:rPr>
        <w:br w:type="textWrapping"/>
      </w:r>
      <w:r>
        <w:rPr>
          <w:rFonts w:hint="eastAsia" w:ascii="宋体" w:hAnsi="宋体" w:eastAsia="宋体" w:cs="宋体"/>
          <w:sz w:val="24"/>
          <w:szCs w:val="24"/>
        </w:rPr>
        <w:t>    （二）评价申报</w:t>
      </w:r>
      <w:r>
        <w:rPr>
          <w:rFonts w:hint="eastAsia" w:ascii="宋体" w:hAnsi="宋体" w:eastAsia="宋体" w:cs="宋体"/>
          <w:sz w:val="24"/>
          <w:szCs w:val="24"/>
        </w:rPr>
        <w:br w:type="textWrapping"/>
      </w:r>
      <w:r>
        <w:rPr>
          <w:rFonts w:hint="eastAsia" w:ascii="宋体" w:hAnsi="宋体" w:eastAsia="宋体" w:cs="宋体"/>
          <w:sz w:val="24"/>
          <w:szCs w:val="24"/>
        </w:rPr>
        <w:t>     执行本要求二、评价申报（一）基本原则、（二）申报程序的全部规定。</w:t>
      </w:r>
      <w:r>
        <w:rPr>
          <w:rFonts w:hint="eastAsia" w:ascii="宋体" w:hAnsi="宋体" w:eastAsia="宋体" w:cs="宋体"/>
          <w:sz w:val="24"/>
          <w:szCs w:val="24"/>
        </w:rPr>
        <w:br w:type="textWrapping"/>
      </w:r>
      <w:r>
        <w:rPr>
          <w:rFonts w:hint="eastAsia" w:ascii="宋体" w:hAnsi="宋体" w:eastAsia="宋体" w:cs="宋体"/>
          <w:sz w:val="24"/>
          <w:szCs w:val="24"/>
        </w:rPr>
        <w:t>    （三）申报受理</w:t>
      </w:r>
      <w:r>
        <w:rPr>
          <w:rFonts w:hint="eastAsia" w:ascii="宋体" w:hAnsi="宋体" w:eastAsia="宋体" w:cs="宋体"/>
          <w:sz w:val="24"/>
          <w:szCs w:val="24"/>
        </w:rPr>
        <w:br w:type="textWrapping"/>
      </w:r>
      <w:r>
        <w:rPr>
          <w:rFonts w:hint="eastAsia" w:ascii="宋体" w:hAnsi="宋体" w:eastAsia="宋体" w:cs="宋体"/>
          <w:sz w:val="24"/>
          <w:szCs w:val="24"/>
        </w:rPr>
        <w:t>     1、中安协能评中心受理企业申报，进行合规性检查，确认受理并立案建档；</w:t>
      </w:r>
      <w:r>
        <w:rPr>
          <w:rFonts w:hint="eastAsia" w:ascii="宋体" w:hAnsi="宋体" w:eastAsia="宋体" w:cs="宋体"/>
          <w:sz w:val="24"/>
          <w:szCs w:val="24"/>
        </w:rPr>
        <w:br w:type="textWrapping"/>
      </w:r>
      <w:r>
        <w:rPr>
          <w:rFonts w:hint="eastAsia" w:ascii="宋体" w:hAnsi="宋体" w:eastAsia="宋体" w:cs="宋体"/>
          <w:sz w:val="24"/>
          <w:szCs w:val="24"/>
        </w:rPr>
        <w:t>     2、合规性检查不合格的不予受理，告知不合格事项，退回全部资料，企业纠正后重新申报。</w:t>
      </w:r>
      <w:r>
        <w:rPr>
          <w:rFonts w:hint="eastAsia" w:ascii="宋体" w:hAnsi="宋体" w:eastAsia="宋体" w:cs="宋体"/>
          <w:sz w:val="24"/>
          <w:szCs w:val="24"/>
        </w:rPr>
        <w:br w:type="textWrapping"/>
      </w:r>
      <w:r>
        <w:rPr>
          <w:rFonts w:hint="eastAsia" w:ascii="宋体" w:hAnsi="宋体" w:eastAsia="宋体" w:cs="宋体"/>
          <w:sz w:val="24"/>
          <w:szCs w:val="24"/>
        </w:rPr>
        <w:t>    （四）能力评审</w:t>
      </w:r>
      <w:r>
        <w:rPr>
          <w:rFonts w:hint="eastAsia" w:ascii="宋体" w:hAnsi="宋体" w:eastAsia="宋体" w:cs="宋体"/>
          <w:sz w:val="24"/>
          <w:szCs w:val="24"/>
        </w:rPr>
        <w:br w:type="textWrapping"/>
      </w:r>
      <w:r>
        <w:rPr>
          <w:rFonts w:hint="eastAsia" w:ascii="宋体" w:hAnsi="宋体" w:eastAsia="宋体" w:cs="宋体"/>
          <w:sz w:val="24"/>
          <w:szCs w:val="24"/>
        </w:rPr>
        <w:t>     1、按照企业申报能力等级，能评中心评审员在线审查企业申报资料；</w:t>
      </w:r>
      <w:r>
        <w:rPr>
          <w:rFonts w:hint="eastAsia" w:ascii="宋体" w:hAnsi="宋体" w:eastAsia="宋体" w:cs="宋体"/>
          <w:sz w:val="24"/>
          <w:szCs w:val="24"/>
        </w:rPr>
        <w:br w:type="textWrapping"/>
      </w:r>
      <w:r>
        <w:rPr>
          <w:rFonts w:hint="eastAsia" w:ascii="宋体" w:hAnsi="宋体" w:eastAsia="宋体" w:cs="宋体"/>
          <w:sz w:val="24"/>
          <w:szCs w:val="24"/>
        </w:rPr>
        <w:t>     2、确认符合《评价标准》规定的，报告评审结论；</w:t>
      </w:r>
      <w:r>
        <w:rPr>
          <w:rFonts w:hint="eastAsia" w:ascii="宋体" w:hAnsi="宋体" w:eastAsia="宋体" w:cs="宋体"/>
          <w:sz w:val="24"/>
          <w:szCs w:val="24"/>
        </w:rPr>
        <w:br w:type="textWrapping"/>
      </w:r>
      <w:r>
        <w:rPr>
          <w:rFonts w:hint="eastAsia" w:ascii="宋体" w:hAnsi="宋体" w:eastAsia="宋体" w:cs="宋体"/>
          <w:sz w:val="24"/>
          <w:szCs w:val="24"/>
        </w:rPr>
        <w:t xml:space="preserve">     3、确认不符合《评价标准》规定的，与企业沟通，告知全部不符合事项，属严重不符合的，则开具《不符合项报告》； </w:t>
      </w:r>
      <w:r>
        <w:rPr>
          <w:rFonts w:hint="eastAsia" w:ascii="宋体" w:hAnsi="宋体" w:eastAsia="宋体" w:cs="宋体"/>
          <w:sz w:val="24"/>
          <w:szCs w:val="24"/>
        </w:rPr>
        <w:br w:type="textWrapping"/>
      </w:r>
      <w:r>
        <w:rPr>
          <w:rFonts w:hint="eastAsia" w:ascii="宋体" w:hAnsi="宋体" w:eastAsia="宋体" w:cs="宋体"/>
          <w:sz w:val="24"/>
          <w:szCs w:val="24"/>
        </w:rPr>
        <w:t>     4、企业应在告知日（不含）起5个工作日内，予以有效纠正，上传证据资料（含填写完整的《不符合项报告》）。纠正有效的，即为符合《评价标准》；</w:t>
      </w:r>
      <w:r>
        <w:rPr>
          <w:rFonts w:hint="eastAsia" w:ascii="宋体" w:hAnsi="宋体" w:eastAsia="宋体" w:cs="宋体"/>
          <w:sz w:val="24"/>
          <w:szCs w:val="24"/>
        </w:rPr>
        <w:br w:type="textWrapping"/>
      </w:r>
      <w:r>
        <w:rPr>
          <w:rFonts w:hint="eastAsia" w:ascii="宋体" w:hAnsi="宋体" w:eastAsia="宋体" w:cs="宋体"/>
          <w:sz w:val="24"/>
          <w:szCs w:val="24"/>
        </w:rPr>
        <w:t>     5、沟通纠正的机会只有一次。</w:t>
      </w:r>
      <w:r>
        <w:rPr>
          <w:rFonts w:hint="eastAsia" w:ascii="宋体" w:hAnsi="宋体" w:eastAsia="宋体" w:cs="宋体"/>
          <w:sz w:val="24"/>
          <w:szCs w:val="24"/>
        </w:rPr>
        <w:br w:type="textWrapping"/>
      </w:r>
      <w:r>
        <w:rPr>
          <w:rFonts w:hint="eastAsia" w:ascii="宋体" w:hAnsi="宋体" w:eastAsia="宋体" w:cs="宋体"/>
          <w:sz w:val="24"/>
          <w:szCs w:val="24"/>
        </w:rPr>
        <w:t>    （五）能力审定</w:t>
      </w:r>
      <w:r>
        <w:rPr>
          <w:rFonts w:hint="eastAsia" w:ascii="宋体" w:hAnsi="宋体" w:eastAsia="宋体" w:cs="宋体"/>
          <w:sz w:val="24"/>
          <w:szCs w:val="24"/>
        </w:rPr>
        <w:br w:type="textWrapping"/>
      </w:r>
      <w:r>
        <w:rPr>
          <w:rFonts w:hint="eastAsia" w:ascii="宋体" w:hAnsi="宋体" w:eastAsia="宋体" w:cs="宋体"/>
          <w:sz w:val="24"/>
          <w:szCs w:val="24"/>
        </w:rPr>
        <w:t>     1、通过能力评审的企业，中安协专家进行能力审定，复核企业资料、评审记录和评审结论，报告审定意见；</w:t>
      </w:r>
      <w:r>
        <w:rPr>
          <w:rFonts w:hint="eastAsia" w:ascii="宋体" w:hAnsi="宋体" w:eastAsia="宋体" w:cs="宋体"/>
          <w:sz w:val="24"/>
          <w:szCs w:val="24"/>
        </w:rPr>
        <w:br w:type="textWrapping"/>
      </w:r>
      <w:r>
        <w:rPr>
          <w:rFonts w:hint="eastAsia" w:ascii="宋体" w:hAnsi="宋体" w:eastAsia="宋体" w:cs="宋体"/>
          <w:sz w:val="24"/>
          <w:szCs w:val="24"/>
        </w:rPr>
        <w:t xml:space="preserve">     2、审定确认符合《标准》要求的，二、三级能力报批；一级能力予以公示，公示期为7个工作日。公示期内无投诉的报批。 </w:t>
      </w:r>
      <w:r>
        <w:rPr>
          <w:rFonts w:hint="eastAsia" w:ascii="宋体" w:hAnsi="宋体" w:eastAsia="宋体" w:cs="宋体"/>
          <w:sz w:val="24"/>
          <w:szCs w:val="24"/>
        </w:rPr>
        <w:br w:type="textWrapping"/>
      </w:r>
      <w:r>
        <w:rPr>
          <w:rFonts w:hint="eastAsia" w:ascii="宋体" w:hAnsi="宋体" w:eastAsia="宋体" w:cs="宋体"/>
          <w:sz w:val="24"/>
          <w:szCs w:val="24"/>
        </w:rPr>
        <w:t>    （六）审批与颁证</w:t>
      </w:r>
      <w:r>
        <w:rPr>
          <w:rFonts w:hint="eastAsia" w:ascii="宋体" w:hAnsi="宋体" w:eastAsia="宋体" w:cs="宋体"/>
          <w:sz w:val="24"/>
          <w:szCs w:val="24"/>
        </w:rPr>
        <w:br w:type="textWrapping"/>
      </w:r>
      <w:r>
        <w:rPr>
          <w:rFonts w:hint="eastAsia" w:ascii="宋体" w:hAnsi="宋体" w:eastAsia="宋体" w:cs="宋体"/>
          <w:sz w:val="24"/>
          <w:szCs w:val="24"/>
        </w:rPr>
        <w:t>     1、中安协负责人审批能力评价报告，签署审批意见；</w:t>
      </w:r>
      <w:r>
        <w:rPr>
          <w:rFonts w:hint="eastAsia" w:ascii="宋体" w:hAnsi="宋体" w:eastAsia="宋体" w:cs="宋体"/>
          <w:sz w:val="24"/>
          <w:szCs w:val="24"/>
        </w:rPr>
        <w:br w:type="textWrapping"/>
      </w:r>
      <w:r>
        <w:rPr>
          <w:rFonts w:hint="eastAsia" w:ascii="宋体" w:hAnsi="宋体" w:eastAsia="宋体" w:cs="宋体"/>
          <w:sz w:val="24"/>
          <w:szCs w:val="24"/>
        </w:rPr>
        <w:t>     2、中安协能评中心根据中安协负责人审批意见制作、颁发能力证书或填写《不合格通知》。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六、企业能力年审和复评</w:t>
      </w:r>
      <w:r>
        <w:rPr>
          <w:rFonts w:hint="eastAsia" w:ascii="宋体" w:hAnsi="宋体" w:eastAsia="宋体" w:cs="宋体"/>
          <w:sz w:val="24"/>
          <w:szCs w:val="24"/>
        </w:rPr>
        <w:br w:type="textWrapping"/>
      </w:r>
      <w:r>
        <w:rPr>
          <w:rFonts w:hint="eastAsia" w:ascii="宋体" w:hAnsi="宋体" w:eastAsia="宋体" w:cs="宋体"/>
          <w:sz w:val="24"/>
          <w:szCs w:val="24"/>
        </w:rPr>
        <w:t>    （一）对获证企业实施能力年审和复评，以确认其综合能力持续满足标准要求。</w:t>
      </w:r>
      <w:r>
        <w:rPr>
          <w:rFonts w:hint="eastAsia" w:ascii="宋体" w:hAnsi="宋体" w:eastAsia="宋体" w:cs="宋体"/>
          <w:sz w:val="24"/>
          <w:szCs w:val="24"/>
        </w:rPr>
        <w:br w:type="textWrapping"/>
      </w:r>
      <w:r>
        <w:rPr>
          <w:rFonts w:hint="eastAsia" w:ascii="宋体" w:hAnsi="宋体" w:eastAsia="宋体" w:cs="宋体"/>
          <w:sz w:val="24"/>
          <w:szCs w:val="24"/>
        </w:rPr>
        <w:t>    （二）证书的有效性依年审合格或通过复评予以保持。年审每年一次，复评每三年一次。年审和复评均须提前两个月申报。</w:t>
      </w:r>
      <w:r>
        <w:rPr>
          <w:rFonts w:hint="eastAsia" w:ascii="宋体" w:hAnsi="宋体" w:eastAsia="宋体" w:cs="宋体"/>
          <w:sz w:val="24"/>
          <w:szCs w:val="24"/>
        </w:rPr>
        <w:br w:type="textWrapping"/>
      </w:r>
      <w:r>
        <w:rPr>
          <w:rFonts w:hint="eastAsia" w:ascii="宋体" w:hAnsi="宋体" w:eastAsia="宋体" w:cs="宋体"/>
          <w:sz w:val="24"/>
          <w:szCs w:val="24"/>
        </w:rPr>
        <w:t>    （三）获证企业应按规定申报年审和复评。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pPr>
      <w:r>
        <w:rPr>
          <w:rStyle w:val="6"/>
          <w:rFonts w:hint="eastAsia" w:ascii="宋体" w:hAnsi="宋体" w:eastAsia="宋体" w:cs="宋体"/>
          <w:sz w:val="24"/>
          <w:szCs w:val="24"/>
        </w:rPr>
        <w:t>    七、监督管理</w:t>
      </w:r>
      <w:r>
        <w:rPr>
          <w:rFonts w:hint="eastAsia" w:ascii="宋体" w:hAnsi="宋体" w:eastAsia="宋体" w:cs="宋体"/>
          <w:sz w:val="24"/>
          <w:szCs w:val="24"/>
        </w:rPr>
        <w:br w:type="textWrapping"/>
      </w:r>
      <w:r>
        <w:rPr>
          <w:rFonts w:hint="eastAsia" w:ascii="宋体" w:hAnsi="宋体" w:eastAsia="宋体" w:cs="宋体"/>
          <w:sz w:val="24"/>
          <w:szCs w:val="24"/>
        </w:rPr>
        <w:t>    （一）获证企业应及时向省安协、能评分中心或中安协、能评中心报告变化、特别是重大变化信息。</w:t>
      </w:r>
      <w:r>
        <w:rPr>
          <w:rFonts w:hint="eastAsia" w:ascii="宋体" w:hAnsi="宋体" w:eastAsia="宋体" w:cs="宋体"/>
          <w:sz w:val="24"/>
          <w:szCs w:val="24"/>
        </w:rPr>
        <w:br w:type="textWrapping"/>
      </w:r>
      <w:r>
        <w:rPr>
          <w:rFonts w:hint="eastAsia" w:ascii="宋体" w:hAnsi="宋体" w:eastAsia="宋体" w:cs="宋体"/>
          <w:sz w:val="24"/>
          <w:szCs w:val="24"/>
        </w:rPr>
        <w:t>    （二）获证企业应妥善保管《安防工程企业设计施工维护能力证书》，恪守证书使用规定。</w:t>
      </w:r>
      <w:r>
        <w:rPr>
          <w:rFonts w:hint="eastAsia" w:ascii="宋体" w:hAnsi="宋体" w:eastAsia="宋体" w:cs="宋体"/>
          <w:sz w:val="24"/>
          <w:szCs w:val="24"/>
        </w:rPr>
        <w:br w:type="textWrapping"/>
      </w:r>
      <w:r>
        <w:rPr>
          <w:rFonts w:hint="eastAsia" w:ascii="宋体" w:hAnsi="宋体" w:eastAsia="宋体" w:cs="宋体"/>
          <w:sz w:val="24"/>
          <w:szCs w:val="24"/>
        </w:rPr>
        <w:t>    （三）获证企业有下列行为的，将撤销其能力证书，三年内不允许申请能力评价，并在中安协网站上公布相关信息:</w:t>
      </w:r>
      <w:r>
        <w:rPr>
          <w:rFonts w:hint="eastAsia" w:ascii="宋体" w:hAnsi="宋体" w:eastAsia="宋体" w:cs="宋体"/>
          <w:sz w:val="24"/>
          <w:szCs w:val="24"/>
        </w:rPr>
        <w:br w:type="textWrapping"/>
      </w:r>
      <w:r>
        <w:rPr>
          <w:rFonts w:hint="eastAsia" w:ascii="宋体" w:hAnsi="宋体" w:eastAsia="宋体" w:cs="宋体"/>
          <w:sz w:val="24"/>
          <w:szCs w:val="24"/>
        </w:rPr>
        <w:t>     1、申报材料中有弄虚作假行为的；</w:t>
      </w:r>
      <w:r>
        <w:rPr>
          <w:rFonts w:hint="eastAsia" w:ascii="宋体" w:hAnsi="宋体" w:eastAsia="宋体" w:cs="宋体"/>
          <w:sz w:val="24"/>
          <w:szCs w:val="24"/>
        </w:rPr>
        <w:br w:type="textWrapping"/>
      </w:r>
      <w:r>
        <w:rPr>
          <w:rFonts w:hint="eastAsia" w:ascii="宋体" w:hAnsi="宋体" w:eastAsia="宋体" w:cs="宋体"/>
          <w:sz w:val="24"/>
          <w:szCs w:val="24"/>
        </w:rPr>
        <w:t>     2、采用不正当手段承接安防工程的；</w:t>
      </w:r>
      <w:r>
        <w:rPr>
          <w:rFonts w:hint="eastAsia" w:ascii="宋体" w:hAnsi="宋体" w:eastAsia="宋体" w:cs="宋体"/>
          <w:sz w:val="24"/>
          <w:szCs w:val="24"/>
        </w:rPr>
        <w:br w:type="textWrapping"/>
      </w:r>
      <w:r>
        <w:rPr>
          <w:rFonts w:hint="eastAsia" w:ascii="宋体" w:hAnsi="宋体" w:eastAsia="宋体" w:cs="宋体"/>
          <w:sz w:val="24"/>
          <w:szCs w:val="24"/>
        </w:rPr>
        <w:t>     3、将承接的安防工程转包或者违法分包的；</w:t>
      </w:r>
      <w:r>
        <w:rPr>
          <w:rFonts w:hint="eastAsia" w:ascii="宋体" w:hAnsi="宋体" w:eastAsia="宋体" w:cs="宋体"/>
          <w:sz w:val="24"/>
          <w:szCs w:val="24"/>
        </w:rPr>
        <w:br w:type="textWrapping"/>
      </w:r>
      <w:r>
        <w:rPr>
          <w:rFonts w:hint="eastAsia" w:ascii="宋体" w:hAnsi="宋体" w:eastAsia="宋体" w:cs="宋体"/>
          <w:sz w:val="24"/>
          <w:szCs w:val="24"/>
        </w:rPr>
        <w:t>     4、承接的安防工程发生重大安全、质量事故的；</w:t>
      </w:r>
      <w:r>
        <w:rPr>
          <w:rFonts w:hint="eastAsia" w:ascii="宋体" w:hAnsi="宋体" w:eastAsia="宋体" w:cs="宋体"/>
          <w:sz w:val="24"/>
          <w:szCs w:val="24"/>
        </w:rPr>
        <w:br w:type="textWrapping"/>
      </w:r>
      <w:r>
        <w:rPr>
          <w:rFonts w:hint="eastAsia" w:ascii="宋体" w:hAnsi="宋体" w:eastAsia="宋体" w:cs="宋体"/>
          <w:sz w:val="24"/>
          <w:szCs w:val="24"/>
        </w:rPr>
        <w:t>     5、隐瞒真实情况，采用欺骗手段取得能力证书的；</w:t>
      </w:r>
      <w:r>
        <w:rPr>
          <w:rFonts w:hint="eastAsia" w:ascii="宋体" w:hAnsi="宋体" w:eastAsia="宋体" w:cs="宋体"/>
          <w:sz w:val="24"/>
          <w:szCs w:val="24"/>
        </w:rPr>
        <w:br w:type="textWrapping"/>
      </w:r>
      <w:r>
        <w:rPr>
          <w:rFonts w:hint="eastAsia" w:ascii="宋体" w:hAnsi="宋体" w:eastAsia="宋体" w:cs="宋体"/>
          <w:sz w:val="24"/>
          <w:szCs w:val="24"/>
        </w:rPr>
        <w:t>     6、转让、租借、变造、涂改能力证书的；</w:t>
      </w:r>
      <w:r>
        <w:rPr>
          <w:rFonts w:hint="eastAsia" w:ascii="宋体" w:hAnsi="宋体" w:eastAsia="宋体" w:cs="宋体"/>
          <w:sz w:val="24"/>
          <w:szCs w:val="24"/>
        </w:rPr>
        <w:br w:type="textWrapping"/>
      </w:r>
      <w:r>
        <w:rPr>
          <w:rFonts w:hint="eastAsia" w:ascii="宋体" w:hAnsi="宋体" w:eastAsia="宋体" w:cs="宋体"/>
          <w:sz w:val="24"/>
          <w:szCs w:val="24"/>
        </w:rPr>
        <w:t>     7、有不良信用记录，列入黑名单的；</w:t>
      </w:r>
      <w:r>
        <w:rPr>
          <w:rFonts w:hint="eastAsia" w:ascii="宋体" w:hAnsi="宋体" w:eastAsia="宋体" w:cs="宋体"/>
          <w:sz w:val="24"/>
          <w:szCs w:val="24"/>
        </w:rPr>
        <w:br w:type="textWrapping"/>
      </w:r>
      <w:r>
        <w:rPr>
          <w:rFonts w:hint="eastAsia" w:ascii="宋体" w:hAnsi="宋体" w:eastAsia="宋体" w:cs="宋体"/>
          <w:sz w:val="24"/>
          <w:szCs w:val="24"/>
        </w:rPr>
        <w:t>     8、其他违反法律、法规行为的。</w:t>
      </w:r>
      <w:r>
        <w:rPr>
          <w:rFonts w:hint="eastAsia" w:ascii="宋体" w:hAnsi="宋体" w:eastAsia="宋体" w:cs="宋体"/>
          <w:sz w:val="24"/>
          <w:szCs w:val="24"/>
        </w:rPr>
        <w:br w:type="textWrapping"/>
      </w:r>
      <w:r>
        <w:rPr>
          <w:rFonts w:hint="eastAsia" w:ascii="宋体" w:hAnsi="宋体" w:eastAsia="宋体" w:cs="宋体"/>
          <w:sz w:val="24"/>
          <w:szCs w:val="24"/>
        </w:rPr>
        <w:t>    （四）获证企业在规定时间内未进行年审、复评的，其能力证书自行失效，且在失效后一年内不可重新申报能力评价。</w:t>
      </w:r>
      <w:r>
        <w:rPr>
          <w:rFonts w:hint="eastAsia" w:ascii="宋体" w:hAnsi="宋体" w:eastAsia="宋体" w:cs="宋体"/>
          <w:sz w:val="24"/>
          <w:szCs w:val="24"/>
        </w:rPr>
        <w:br w:type="textWrapping"/>
      </w:r>
      <w:r>
        <w:rPr>
          <w:rFonts w:hint="eastAsia" w:ascii="宋体" w:hAnsi="宋体" w:eastAsia="宋体" w:cs="宋体"/>
          <w:sz w:val="24"/>
          <w:szCs w:val="24"/>
        </w:rPr>
        <w:t>    （五）评价机构（评价中心或分中心）采取随机和选择性相结合的方式，对申报能力评价企业进行现场抽检，核实企业申报资料的真实性、有效性和符合性，以及与投诉有关事项。随机性抽检比例不低于10%。</w:t>
      </w:r>
      <w:r>
        <w:rPr>
          <w:rFonts w:hint="eastAsia" w:ascii="宋体" w:hAnsi="宋体" w:eastAsia="宋体" w:cs="宋体"/>
          <w:sz w:val="24"/>
          <w:szCs w:val="24"/>
        </w:rPr>
        <w:br w:type="textWrapping"/>
      </w:r>
      <w:r>
        <w:rPr>
          <w:rFonts w:hint="eastAsia" w:ascii="宋体" w:hAnsi="宋体" w:eastAsia="宋体" w:cs="宋体"/>
          <w:sz w:val="24"/>
          <w:szCs w:val="24"/>
        </w:rPr>
        <w:t>     企业应积极配合现场抽检，不得回避阻碍。否则，抽检组可中止抽验。提交抽验报告，经协会领导批准，将被终止能力评价，或撤销其企业能力评价证书。</w:t>
      </w:r>
      <w:r>
        <w:rPr>
          <w:rFonts w:hint="eastAsia" w:ascii="宋体" w:hAnsi="宋体" w:eastAsia="宋体" w:cs="宋体"/>
          <w:sz w:val="24"/>
          <w:szCs w:val="24"/>
        </w:rPr>
        <w:br w:type="textWrapping"/>
      </w:r>
      <w:r>
        <w:rPr>
          <w:rFonts w:hint="eastAsia" w:ascii="宋体" w:hAnsi="宋体" w:eastAsia="宋体" w:cs="宋体"/>
          <w:sz w:val="24"/>
          <w:szCs w:val="24"/>
        </w:rPr>
        <w:t>    （六）能力评价结果网上公开发布，接受社会监督。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749DC"/>
    <w:rsid w:val="3E606A6A"/>
    <w:rsid w:val="44E749DC"/>
    <w:rsid w:val="466F71CC"/>
    <w:rsid w:val="4CC4249F"/>
    <w:rsid w:val="62313C0C"/>
    <w:rsid w:val="785E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2B2B2B"/>
      <w:u w:val="none"/>
    </w:rPr>
  </w:style>
  <w:style w:type="character" w:styleId="8">
    <w:name w:val="Emphasis"/>
    <w:basedOn w:val="5"/>
    <w:qFormat/>
    <w:uiPriority w:val="0"/>
  </w:style>
  <w:style w:type="character" w:styleId="9">
    <w:name w:val="Hyperlink"/>
    <w:basedOn w:val="5"/>
    <w:qFormat/>
    <w:uiPriority w:val="0"/>
    <w:rPr>
      <w:color w:val="2B2B2B"/>
      <w:u w:val="none"/>
    </w:rPr>
  </w:style>
  <w:style w:type="paragraph" w:customStyle="1" w:styleId="10">
    <w:name w:val="a_title"/>
    <w:basedOn w:val="1"/>
    <w:uiPriority w:val="0"/>
    <w:pPr>
      <w:pBdr>
        <w:bottom w:val="none" w:color="auto" w:sz="0" w:space="0"/>
      </w:pBdr>
      <w:spacing w:line="750" w:lineRule="atLeast"/>
      <w:jc w:val="center"/>
    </w:pPr>
    <w:rPr>
      <w:rFonts w:ascii="楷体_GB2312" w:eastAsia="楷体_GB2312" w:cs="楷体_GB2312"/>
      <w:kern w:val="0"/>
      <w:sz w:val="52"/>
      <w:szCs w:val="52"/>
      <w:lang w:val="en-US" w:eastAsia="zh-CN" w:bidi="ar"/>
    </w:rPr>
  </w:style>
  <w:style w:type="paragraph" w:customStyle="1" w:styleId="11">
    <w:name w:val="b_title"/>
    <w:basedOn w:val="1"/>
    <w:uiPriority w:val="0"/>
    <w:pPr>
      <w:spacing w:line="450" w:lineRule="atLeast"/>
      <w:jc w:val="center"/>
    </w:pPr>
    <w:rPr>
      <w:rFonts w:hint="eastAsia" w:ascii="宋体" w:hAnsi="宋体" w:eastAsia="宋体" w:cs="宋体"/>
      <w:kern w:val="0"/>
      <w:sz w:val="36"/>
      <w:szCs w:val="36"/>
      <w:lang w:val="en-US" w:eastAsia="zh-CN" w:bidi="ar"/>
    </w:rPr>
  </w:style>
  <w:style w:type="paragraph" w:customStyle="1" w:styleId="12">
    <w:name w:val="c_title"/>
    <w:basedOn w:val="1"/>
    <w:uiPriority w:val="0"/>
    <w:pPr>
      <w:pBdr>
        <w:top w:val="none" w:color="auto" w:sz="0" w:space="0"/>
        <w:left w:val="none" w:color="auto" w:sz="0" w:space="0"/>
        <w:bottom w:val="none" w:color="auto" w:sz="0" w:space="0"/>
        <w:right w:val="none" w:color="auto" w:sz="0" w:space="0"/>
      </w:pBdr>
      <w:spacing w:line="450" w:lineRule="atLeast"/>
      <w:jc w:val="right"/>
    </w:pPr>
    <w:rPr>
      <w:rFonts w:hint="eastAsia" w:ascii="宋体" w:hAnsi="宋体" w:eastAsia="宋体" w:cs="宋体"/>
      <w:kern w:val="0"/>
      <w:sz w:val="21"/>
      <w:szCs w:val="21"/>
      <w:lang w:val="en-US" w:eastAsia="zh-CN" w:bidi="ar"/>
    </w:rPr>
  </w:style>
  <w:style w:type="paragraph" w:customStyle="1" w:styleId="13">
    <w:name w:val="e_title"/>
    <w:basedOn w:val="1"/>
    <w:uiPriority w:val="0"/>
    <w:pPr>
      <w:pBdr>
        <w:top w:val="none" w:color="auto" w:sz="0" w:space="0"/>
        <w:left w:val="none" w:color="auto" w:sz="0" w:space="0"/>
        <w:bottom w:val="none" w:color="auto" w:sz="0" w:space="0"/>
        <w:right w:val="none" w:color="auto" w:sz="0" w:space="0"/>
      </w:pBdr>
      <w:spacing w:line="450" w:lineRule="atLeast"/>
      <w:jc w:val="center"/>
    </w:pPr>
    <w:rPr>
      <w:rFonts w:hint="eastAsia" w:ascii="宋体" w:hAnsi="宋体" w:eastAsia="宋体" w:cs="宋体"/>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2020-07-17T09:08:00Z</dcterms:created>
  <dc:creator>Administrator</dc:creator>
  <cp:lastModifiedBy>af-沫沫</cp:lastModifiedBy>
  <dcterms:modified xsi:type="dcterms:W3CDTF">2020-07-17T09:24:18Z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